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360" w:lineRule="atLeast"/>
        <w:jc w:val="center"/>
        <w:rPr>
          <w:rFonts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中国民主同盟广安市委员会</w:t>
      </w:r>
    </w:p>
    <w:p>
      <w:pPr>
        <w:widowControl/>
        <w:spacing w:before="300" w:after="150" w:line="360" w:lineRule="atLeast"/>
        <w:jc w:val="center"/>
        <w:rPr>
          <w:rFonts w:ascii="微软雅黑" w:hAnsi="微软雅黑" w:eastAsia="微软雅黑" w:cs="微软雅黑"/>
          <w:b/>
          <w:bCs/>
          <w:color w:val="333333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202</w:t>
      </w:r>
      <w:r>
        <w:rPr>
          <w:rFonts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3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年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  <w:lang w:eastAsia="zh-CN"/>
        </w:rPr>
        <w:t>10月</w:t>
      </w: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  <w:t>部门预算执行情况说明</w:t>
      </w:r>
    </w:p>
    <w:p>
      <w:pPr>
        <w:pStyle w:val="4"/>
        <w:widowControl/>
        <w:spacing w:after="150" w:line="585" w:lineRule="atLeast"/>
        <w:ind w:firstLine="720"/>
        <w:jc w:val="both"/>
      </w:pPr>
      <w:r>
        <w:rPr>
          <w:rFonts w:ascii="方正黑体_GBK" w:hAnsi="方正黑体_GBK" w:eastAsia="方正黑体_GBK" w:cs="方正黑体_GBK"/>
          <w:color w:val="333333"/>
          <w:sz w:val="33"/>
          <w:szCs w:val="33"/>
        </w:rPr>
        <w:t>一、基本职能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民盟广安市委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会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机关是民盟广安市委员会的工作机构，主要职责是：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围绕党的中心任务，在国家政治生活中，认真履行参政议政、民主监督、政治协商的职责。组织推动盟员中担任各级人大代表、政协委员、特约人员政府实职人员认真履行职责，充分发挥作用。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以经济建设为中心，加强同政府有关部门的联系，深入调查研究，发挥智力优势，就文化、教育、科技、经济以及其它方面等一系列重要问题，对党和政府提出意见和建议，参政议政，进行民主监督。鼓励全市盟员立足本职、服务社会，在开展智力支边、科技扶贫、社会办学等方面做实事、做好事，为改革开放、两个文明建设进言献策，多作贡献。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为促进祖国统一大业的完成作出应有的贡献。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4.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努力加强自身建设，不断提高整体素质，切实做好思想建设、组织建设、领导班子建设和机关建设，不断增强盟的活力，更好地发挥参政党的作用。</w:t>
      </w:r>
    </w:p>
    <w:p>
      <w:pPr>
        <w:pStyle w:val="4"/>
        <w:widowControl/>
        <w:spacing w:after="150" w:line="585" w:lineRule="atLeast"/>
        <w:ind w:firstLine="660"/>
        <w:jc w:val="both"/>
      </w:pPr>
      <w:r>
        <w:rPr>
          <w:rFonts w:hint="eastAsia" w:ascii="方正黑体_GBK" w:hAnsi="方正黑体_GBK" w:eastAsia="方正黑体_GBK" w:cs="方正黑体_GBK"/>
          <w:color w:val="333333"/>
          <w:sz w:val="33"/>
          <w:szCs w:val="33"/>
        </w:rPr>
        <w:t>二、预算执行情况说明</w:t>
      </w:r>
    </w:p>
    <w:p>
      <w:pPr>
        <w:pStyle w:val="4"/>
        <w:widowControl/>
        <w:spacing w:after="150" w:line="585" w:lineRule="atLeast"/>
        <w:ind w:firstLine="660"/>
        <w:jc w:val="both"/>
      </w:pPr>
      <w:r>
        <w:rPr>
          <w:rStyle w:val="7"/>
          <w:rFonts w:ascii="方正楷体_GBK" w:hAnsi="方正楷体_GBK" w:eastAsia="方正楷体_GBK" w:cs="方正楷体_GBK"/>
          <w:color w:val="333333"/>
          <w:sz w:val="33"/>
          <w:szCs w:val="33"/>
        </w:rPr>
        <w:t>（一）财政拨款支出总体情况</w:t>
      </w:r>
      <w:r>
        <w:rPr>
          <w:rStyle w:val="7"/>
          <w:rFonts w:hint="eastAsia" w:ascii="方正楷体_GBK" w:hAnsi="方正楷体_GBK" w:eastAsia="方正楷体_GBK" w:cs="方正楷体_GBK"/>
          <w:color w:val="333333"/>
          <w:sz w:val="33"/>
          <w:szCs w:val="33"/>
        </w:rPr>
        <w:t>。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截至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10月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底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,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 民盟广安市委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部门财政拨款累计支出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55.79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</w:t>
      </w:r>
      <w:r>
        <w:rPr>
          <w:rFonts w:hint="eastAsia" w:ascii="Times New Roman" w:hAnsi="方正仿宋_GBK" w:eastAsia="方正仿宋_GBK" w:cs="方正仿宋_GBK"/>
          <w:sz w:val="33"/>
          <w:szCs w:val="33"/>
        </w:rPr>
        <w:t>。</w:t>
      </w:r>
    </w:p>
    <w:p>
      <w:pPr>
        <w:pStyle w:val="4"/>
        <w:widowControl/>
        <w:spacing w:after="150" w:line="585" w:lineRule="atLeast"/>
        <w:ind w:firstLine="660"/>
        <w:jc w:val="both"/>
      </w:pPr>
      <w:r>
        <w:rPr>
          <w:rStyle w:val="7"/>
          <w:rFonts w:hint="eastAsia" w:ascii="方正楷体_GBK" w:hAnsi="方正楷体_GBK" w:eastAsia="方正楷体_GBK" w:cs="方正楷体_GBK"/>
          <w:color w:val="333333"/>
          <w:sz w:val="33"/>
          <w:szCs w:val="33"/>
        </w:rPr>
        <w:t>（二）一般公共预算财政拨款支出情况。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截至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10月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底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,</w:t>
      </w:r>
      <w:r>
        <w:rPr>
          <w:rFonts w:ascii="Cambria" w:hAnsi="Cambria" w:eastAsia="方正仿宋_GBK" w:cs="Cambria"/>
          <w:color w:val="333333"/>
          <w:sz w:val="33"/>
          <w:szCs w:val="33"/>
        </w:rPr>
        <w:t> 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民盟广安市委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部门一般公共预算财政拨款累计支出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55.79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万元。其中：</w:t>
      </w:r>
    </w:p>
    <w:p>
      <w:pPr>
        <w:pStyle w:val="4"/>
        <w:widowControl/>
        <w:spacing w:after="150" w:line="585" w:lineRule="atLeast"/>
        <w:ind w:firstLine="660"/>
        <w:rPr>
          <w:rFonts w:hint="default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1.工资和福利支出（类）基本工资（款）:支出数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3.89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44.71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38.62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2022年12月调出1人，年终按2人预算经费，2023年实际发放1人。</w:t>
      </w:r>
    </w:p>
    <w:p>
      <w:pPr>
        <w:pStyle w:val="4"/>
        <w:widowControl/>
        <w:spacing w:after="150" w:line="585" w:lineRule="atLeast"/>
        <w:ind w:firstLine="660"/>
        <w:rPr>
          <w:rFonts w:hint="default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2.工资和福利支出（类）津贴补贴（款）: 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2.54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42.12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41.21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2022年12月调出1人，年终按2人预算经费，2023年实际发放1人。</w:t>
      </w:r>
    </w:p>
    <w:p>
      <w:pPr>
        <w:pStyle w:val="4"/>
        <w:widowControl/>
        <w:spacing w:after="150" w:line="585" w:lineRule="atLeast"/>
        <w:ind w:firstLine="660"/>
        <w:rPr>
          <w:rFonts w:hint="default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3.工资和福利支出（类）奖金（款）:支出数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7.42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72.39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27.2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2022年12月调出1人，年终按2人预算经费，2023年实际发放1人。</w:t>
      </w:r>
    </w:p>
    <w:p>
      <w:pPr>
        <w:pStyle w:val="4"/>
        <w:widowControl/>
        <w:spacing w:after="150" w:line="585" w:lineRule="atLeast"/>
        <w:ind w:firstLine="660"/>
        <w:rPr>
          <w:rFonts w:hint="default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4.工资和福利支出（类）机关事业单位基本养老保险缴费（款）：支出数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37.43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45.9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2022年12月调出1人，年终按2人预算经费，2023年实际缴费1人。</w:t>
      </w:r>
    </w:p>
    <w:p>
      <w:pPr>
        <w:pStyle w:val="4"/>
        <w:widowControl/>
        <w:spacing w:after="150" w:line="585" w:lineRule="atLeast"/>
        <w:ind w:firstLine="660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5.工资和福利支出（类）职工基本医疗保险缴费（款）：支出数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0.5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50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21.43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2022年12月调出1人，年终按2人预算经费，2023年实际缴费1人。</w:t>
      </w:r>
    </w:p>
    <w:p>
      <w:pPr>
        <w:pStyle w:val="4"/>
        <w:widowControl/>
        <w:spacing w:after="150" w:line="585" w:lineRule="atLeast"/>
        <w:ind w:firstLine="66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.工资和福利支出（类）公务员医疗补助缴费（款）：支出数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0.26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61.9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2022年12月调出1人，年终按2人预算经费，2023年实际缴费1人。</w:t>
      </w:r>
    </w:p>
    <w:p>
      <w:pPr>
        <w:pStyle w:val="4"/>
        <w:widowControl/>
        <w:spacing w:after="150" w:line="585" w:lineRule="atLeast"/>
        <w:ind w:firstLine="660"/>
        <w:rPr>
          <w:rFonts w:hint="default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.工资和福利支出（类）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其他社会保障缴费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0.02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43.33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2022年12月调出1人，年终按2人预算经费，2023年实际缴费1人。</w:t>
      </w:r>
    </w:p>
    <w:p>
      <w:pPr>
        <w:pStyle w:val="4"/>
        <w:widowControl/>
        <w:spacing w:after="150" w:line="585" w:lineRule="atLeast"/>
        <w:ind w:firstLine="66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.商品和服务支出（类）办公费（款）：支出数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1.16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85.29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-1.96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spacing w:after="150" w:line="585" w:lineRule="atLeast"/>
        <w:ind w:firstLine="66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.商品和服务支出（类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印刷费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0.86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55.13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28.21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spacing w:after="150" w:line="585" w:lineRule="atLeast"/>
        <w:ind w:firstLine="66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.商品和服务支出（类）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邮电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0.15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93.75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-10.42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spacing w:after="150" w:line="585" w:lineRule="atLeast"/>
        <w:ind w:firstLine="66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.商品和服务支出（类）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物业管理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0.08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80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3.33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numPr>
          <w:ilvl w:val="0"/>
          <w:numId w:val="0"/>
        </w:numPr>
        <w:spacing w:after="150" w:line="585" w:lineRule="atLeast"/>
        <w:ind w:firstLine="660" w:firstLineChars="20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商品和服务支出（类）差旅费（款）：支出数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3.15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64.02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19.31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numPr>
          <w:ilvl w:val="0"/>
          <w:numId w:val="0"/>
        </w:numPr>
        <w:spacing w:after="150" w:line="585" w:lineRule="atLeast"/>
        <w:ind w:firstLine="660" w:firstLineChars="20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13.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维护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0.09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-25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numPr>
          <w:ilvl w:val="0"/>
          <w:numId w:val="0"/>
        </w:numPr>
        <w:spacing w:after="150" w:line="585" w:lineRule="atLeast"/>
        <w:ind w:firstLine="660" w:firstLineChars="20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会议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6.6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-16.67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numPr>
          <w:ilvl w:val="0"/>
          <w:numId w:val="0"/>
        </w:numPr>
        <w:spacing w:after="150" w:line="585" w:lineRule="atLeast"/>
        <w:ind w:firstLine="660" w:firstLineChars="20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15.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培训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11.54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98.72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-15.38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numPr>
          <w:ilvl w:val="0"/>
          <w:numId w:val="0"/>
        </w:numPr>
        <w:spacing w:after="150" w:line="585" w:lineRule="atLeast"/>
        <w:ind w:firstLine="660" w:firstLineChars="200"/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14.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公务接待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费（款）：支出数1.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56.52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26.81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主要原因是厉行节约。</w:t>
      </w:r>
    </w:p>
    <w:p>
      <w:pPr>
        <w:pStyle w:val="4"/>
        <w:widowControl/>
        <w:spacing w:after="150" w:line="585" w:lineRule="atLeast"/>
        <w:ind w:firstLine="660" w:firstLineChars="20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17.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商品和服务支出（类）劳务费（款）：支出数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5.72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-16.67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spacing w:after="150" w:line="585" w:lineRule="atLeast"/>
        <w:ind w:firstLine="66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18.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商品和服务支出（类）工会经费（款）：支出数0.28万元，完成预算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-16.67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spacing w:after="150" w:line="585" w:lineRule="atLeast"/>
        <w:ind w:firstLine="660"/>
        <w:rPr>
          <w:rFonts w:hint="default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19.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福利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费（款）：支出数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1.32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100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-16.67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spacing w:after="150" w:line="585" w:lineRule="atLeast"/>
        <w:ind w:firstLine="660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商品和服务支出（类）其他交通费用（款）：支出数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1.42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40.22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43.11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2022年12月调出1人，2023年按2人预算经费，实际发放1人。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21.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商品和服务支出（类）其他商品和服务支出（款）：支出数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3.36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万元，完成预算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57.34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%，与序时进度相差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</w:p>
    <w:p>
      <w:pPr>
        <w:pStyle w:val="4"/>
        <w:widowControl/>
        <w:spacing w:after="150" w:line="585" w:lineRule="atLeast"/>
        <w:ind w:firstLine="660"/>
        <w:jc w:val="both"/>
        <w:rPr>
          <w:rStyle w:val="7"/>
          <w:rFonts w:hint="eastAsia" w:ascii="方正楷体_GBK" w:hAnsi="方正楷体_GBK" w:eastAsia="方正仿宋_GBK" w:cs="方正楷体_GBK"/>
          <w:color w:val="333333"/>
          <w:sz w:val="33"/>
          <w:szCs w:val="33"/>
          <w:lang w:eastAsia="zh-CN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22.对个人和家庭的补助（类）生活补助（款）支出数2.73，完成预算100%，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与序时进度相差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val="en-US" w:eastAsia="zh-CN"/>
        </w:rPr>
        <w:t>-16.67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个百分点。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主要原因是一次性发放退休人员生活补助。</w:t>
      </w:r>
    </w:p>
    <w:p>
      <w:pPr>
        <w:pStyle w:val="4"/>
        <w:widowControl/>
        <w:spacing w:after="150" w:line="585" w:lineRule="atLeast"/>
        <w:ind w:firstLine="660"/>
        <w:jc w:val="both"/>
      </w:pPr>
      <w:r>
        <w:rPr>
          <w:rStyle w:val="7"/>
          <w:rFonts w:hint="eastAsia" w:ascii="方正楷体_GBK" w:hAnsi="方正楷体_GBK" w:eastAsia="方正楷体_GBK" w:cs="方正楷体_GBK"/>
          <w:color w:val="333333"/>
          <w:sz w:val="33"/>
          <w:szCs w:val="33"/>
        </w:rPr>
        <w:t>（三）政府性基金预算财政拨款支出情况说明。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民盟广安市委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  <w:lang w:eastAsia="zh-CN"/>
        </w:rPr>
        <w:t>会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无政府性基金预算财政拨款预算和支出。</w:t>
      </w:r>
    </w:p>
    <w:p>
      <w:pPr>
        <w:pStyle w:val="4"/>
        <w:widowControl/>
        <w:spacing w:after="150" w:line="585" w:lineRule="atLeast"/>
        <w:ind w:firstLine="660"/>
        <w:jc w:val="both"/>
      </w:pPr>
      <w:r>
        <w:rPr>
          <w:rFonts w:hint="eastAsia" w:ascii="方正黑体_GBK" w:hAnsi="方正黑体_GBK" w:eastAsia="方正黑体_GBK" w:cs="方正黑体_GBK"/>
          <w:color w:val="333333"/>
          <w:sz w:val="33"/>
          <w:szCs w:val="33"/>
        </w:rPr>
        <w:t>三、“三公”经费财政拨款支出情况说明</w:t>
      </w:r>
    </w:p>
    <w:p>
      <w:pPr>
        <w:pStyle w:val="4"/>
        <w:widowControl/>
        <w:spacing w:after="150" w:line="585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Cambria" w:hAnsi="Cambria" w:eastAsia="方正仿宋_GBK" w:cs="Cambria"/>
          <w:color w:val="333333"/>
          <w:sz w:val="33"/>
          <w:szCs w:val="33"/>
        </w:rPr>
        <w:t>截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eastAsia="zh-CN"/>
        </w:rPr>
        <w:t>至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2023年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eastAsia="zh-CN"/>
        </w:rPr>
        <w:t>10月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，民盟广安市委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eastAsia="zh-CN"/>
        </w:rPr>
        <w:t>会</w:t>
      </w:r>
      <w:bookmarkStart w:id="0" w:name="_GoBack"/>
      <w:bookmarkEnd w:id="0"/>
      <w:r>
        <w:rPr>
          <w:rFonts w:hint="eastAsia" w:ascii="Cambria" w:hAnsi="Cambria" w:eastAsia="方正仿宋_GBK" w:cs="Cambria"/>
          <w:color w:val="333333"/>
          <w:sz w:val="33"/>
          <w:szCs w:val="33"/>
        </w:rPr>
        <w:t>部门“三公”经费财政拨款支出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val="en-US" w:eastAsia="zh-CN"/>
        </w:rPr>
        <w:t>1.3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万元，完成预算的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val="en-US" w:eastAsia="zh-CN"/>
        </w:rPr>
        <w:t>62.5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%，较上年同期增长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val="en-US" w:eastAsia="zh-CN"/>
        </w:rPr>
        <w:t>62.5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%。 其中：因公出国（境）费支出0万元，占预算的0%，同比增长0%；公务用车购置及运行维护费支出0万元，占预算的0%，同比增长0%；公务接待费支出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val="en-US" w:eastAsia="zh-CN"/>
        </w:rPr>
        <w:t>1.3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万元，占预算的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val="en-US" w:eastAsia="zh-CN"/>
        </w:rPr>
        <w:t>62.5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%，同比增长</w:t>
      </w:r>
      <w:r>
        <w:rPr>
          <w:rFonts w:hint="eastAsia" w:ascii="Cambria" w:hAnsi="Cambria" w:eastAsia="方正仿宋_GBK" w:cs="Cambria"/>
          <w:color w:val="333333"/>
          <w:sz w:val="33"/>
          <w:szCs w:val="33"/>
          <w:lang w:val="en-US" w:eastAsia="zh-CN"/>
        </w:rPr>
        <w:t>62.5</w:t>
      </w:r>
      <w:r>
        <w:rPr>
          <w:rFonts w:hint="eastAsia" w:ascii="Cambria" w:hAnsi="Cambria" w:eastAsia="方正仿宋_GBK" w:cs="Cambria"/>
          <w:color w:val="333333"/>
          <w:sz w:val="33"/>
          <w:szCs w:val="33"/>
        </w:rPr>
        <w:t>%。</w:t>
      </w:r>
      <w:r>
        <w:rPr>
          <w:rFonts w:ascii="Cambria" w:hAnsi="Cambria" w:eastAsia="方正仿宋_GBK" w:cs="Cambria"/>
          <w:color w:val="333333"/>
          <w:sz w:val="33"/>
          <w:szCs w:val="33"/>
        </w:rPr>
        <w:t> </w:t>
      </w:r>
    </w:p>
    <w:p>
      <w:pPr>
        <w:pStyle w:val="4"/>
        <w:widowControl/>
        <w:spacing w:after="150" w:line="360" w:lineRule="atLeast"/>
        <w:ind w:firstLine="66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附件：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一般公共预算拨款支出明细表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(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公开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01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表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)</w:t>
      </w:r>
    </w:p>
    <w:p>
      <w:pPr>
        <w:pStyle w:val="4"/>
        <w:widowControl/>
        <w:spacing w:after="150" w:line="360" w:lineRule="atLeast"/>
        <w:ind w:firstLine="165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政府性基金预算拨款支出明细表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(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公开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02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表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)</w:t>
      </w:r>
    </w:p>
    <w:p>
      <w:pPr>
        <w:pStyle w:val="4"/>
        <w:widowControl/>
        <w:spacing w:after="150" w:line="360" w:lineRule="atLeast"/>
        <w:ind w:firstLine="1650"/>
        <w:jc w:val="both"/>
        <w:rPr>
          <w:rFonts w:ascii="方正仿宋_GBK" w:hAnsi="方正仿宋_GBK" w:eastAsia="方正仿宋_GBK" w:cs="方正仿宋_GBK"/>
          <w:color w:val="333333"/>
          <w:sz w:val="33"/>
          <w:szCs w:val="33"/>
        </w:rPr>
      </w:pP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三公经费预算拨款支出明细表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(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公开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03</w:t>
      </w:r>
      <w:r>
        <w:rPr>
          <w:rFonts w:hint="eastAsia" w:ascii="方正仿宋_GBK" w:hAnsi="方正仿宋_GBK" w:eastAsia="方正仿宋_GBK" w:cs="方正仿宋_GBK"/>
          <w:color w:val="333333"/>
          <w:sz w:val="33"/>
          <w:szCs w:val="33"/>
        </w:rPr>
        <w:t>表</w:t>
      </w:r>
      <w:r>
        <w:rPr>
          <w:rFonts w:ascii="方正仿宋_GBK" w:hAnsi="方正仿宋_GBK" w:eastAsia="方正仿宋_GBK" w:cs="方正仿宋_GBK"/>
          <w:color w:val="333333"/>
          <w:sz w:val="33"/>
          <w:szCs w:val="33"/>
        </w:rPr>
        <w:t>)</w:t>
      </w:r>
    </w:p>
    <w:p/>
    <w:p>
      <w:pPr>
        <w:rPr>
          <w:rFonts w:ascii="微软雅黑" w:hAnsi="微软雅黑" w:eastAsia="微软雅黑" w:cs="微软雅黑"/>
          <w:b/>
          <w:bCs/>
          <w:color w:val="333333"/>
          <w:kern w:val="0"/>
          <w:sz w:val="30"/>
          <w:szCs w:val="30"/>
        </w:rPr>
      </w:pPr>
    </w:p>
    <w:p>
      <w:pPr>
        <w:ind w:firstLine="4290" w:firstLineChars="1300"/>
        <w:jc w:val="right"/>
        <w:rPr>
          <w:rFonts w:ascii="方正仿宋_GBK" w:hAnsi="方正仿宋_GBK" w:eastAsia="方正仿宋_GBK" w:cs="方正仿宋_GBK"/>
          <w:color w:val="333333"/>
          <w:kern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3"/>
          <w:szCs w:val="33"/>
        </w:rPr>
        <w:t>中国民主同盟广安市委员会</w:t>
      </w:r>
    </w:p>
    <w:p>
      <w:pPr>
        <w:ind w:firstLine="4950" w:firstLineChars="1500"/>
        <w:jc w:val="right"/>
        <w:rPr>
          <w:rFonts w:ascii="方正仿宋_GBK" w:hAnsi="方正仿宋_GBK" w:eastAsia="方正仿宋_GBK" w:cs="方正仿宋_GBK"/>
          <w:color w:val="333333"/>
          <w:kern w:val="0"/>
          <w:sz w:val="33"/>
          <w:szCs w:val="33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33"/>
          <w:szCs w:val="33"/>
        </w:rPr>
        <w:t>202</w:t>
      </w:r>
      <w:r>
        <w:rPr>
          <w:rFonts w:ascii="方正仿宋_GBK" w:hAnsi="方正仿宋_GBK" w:eastAsia="方正仿宋_GBK" w:cs="方正仿宋_GBK"/>
          <w:color w:val="333333"/>
          <w:kern w:val="0"/>
          <w:sz w:val="33"/>
          <w:szCs w:val="33"/>
        </w:rPr>
        <w:t>3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3"/>
          <w:szCs w:val="33"/>
        </w:rPr>
        <w:t>年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3"/>
          <w:szCs w:val="33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3"/>
          <w:szCs w:val="33"/>
        </w:rPr>
        <w:t>月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3"/>
          <w:szCs w:val="33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33"/>
          <w:szCs w:val="33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0NDA0MmRkMzJlNzUxYTNhMWM0MTdhZWI5NWYyOTcifQ=="/>
  </w:docVars>
  <w:rsids>
    <w:rsidRoot w:val="0AA62E8B"/>
    <w:rsid w:val="000B31AF"/>
    <w:rsid w:val="00107292"/>
    <w:rsid w:val="00355D6A"/>
    <w:rsid w:val="005115B0"/>
    <w:rsid w:val="005F73D9"/>
    <w:rsid w:val="007760C9"/>
    <w:rsid w:val="00887970"/>
    <w:rsid w:val="00AD561D"/>
    <w:rsid w:val="00B105A2"/>
    <w:rsid w:val="00CB6877"/>
    <w:rsid w:val="01482498"/>
    <w:rsid w:val="01892BB2"/>
    <w:rsid w:val="09BC0DAF"/>
    <w:rsid w:val="0AA62E8B"/>
    <w:rsid w:val="0AEE0C79"/>
    <w:rsid w:val="11D566EF"/>
    <w:rsid w:val="12331667"/>
    <w:rsid w:val="163B6FFF"/>
    <w:rsid w:val="16737500"/>
    <w:rsid w:val="18B45EC2"/>
    <w:rsid w:val="18C6209F"/>
    <w:rsid w:val="1BD73BDD"/>
    <w:rsid w:val="1D924370"/>
    <w:rsid w:val="1EA51D2D"/>
    <w:rsid w:val="202076F1"/>
    <w:rsid w:val="24D400BC"/>
    <w:rsid w:val="250F7D12"/>
    <w:rsid w:val="270E0F6A"/>
    <w:rsid w:val="28DE0DF6"/>
    <w:rsid w:val="2E296790"/>
    <w:rsid w:val="319C57FD"/>
    <w:rsid w:val="35894E6B"/>
    <w:rsid w:val="362B764C"/>
    <w:rsid w:val="3971469F"/>
    <w:rsid w:val="3BF40625"/>
    <w:rsid w:val="419453CF"/>
    <w:rsid w:val="42C52D48"/>
    <w:rsid w:val="482A083B"/>
    <w:rsid w:val="483376F0"/>
    <w:rsid w:val="48B47335"/>
    <w:rsid w:val="499C7517"/>
    <w:rsid w:val="520B5239"/>
    <w:rsid w:val="528E7148"/>
    <w:rsid w:val="533D58C6"/>
    <w:rsid w:val="53AC060B"/>
    <w:rsid w:val="54662BFB"/>
    <w:rsid w:val="55A27C63"/>
    <w:rsid w:val="5AB43CF4"/>
    <w:rsid w:val="5C5A1297"/>
    <w:rsid w:val="5F697A43"/>
    <w:rsid w:val="5F797C86"/>
    <w:rsid w:val="61F23D20"/>
    <w:rsid w:val="633E416C"/>
    <w:rsid w:val="63C93966"/>
    <w:rsid w:val="63F67874"/>
    <w:rsid w:val="65534209"/>
    <w:rsid w:val="6AA617CE"/>
    <w:rsid w:val="6D4A1681"/>
    <w:rsid w:val="6EF3398E"/>
    <w:rsid w:val="6F0F7CB4"/>
    <w:rsid w:val="70E21403"/>
    <w:rsid w:val="725327A6"/>
    <w:rsid w:val="73B47087"/>
    <w:rsid w:val="748645AE"/>
    <w:rsid w:val="76BF021D"/>
    <w:rsid w:val="77C948F2"/>
    <w:rsid w:val="79DD47D5"/>
    <w:rsid w:val="7B631B1F"/>
    <w:rsid w:val="7BE10C35"/>
    <w:rsid w:val="7F4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FollowedHyperlink"/>
    <w:qFormat/>
    <w:uiPriority w:val="0"/>
    <w:rPr>
      <w:color w:val="000000"/>
      <w:u w:val="none"/>
    </w:rPr>
  </w:style>
  <w:style w:type="character" w:styleId="9">
    <w:name w:val="Hyperlink"/>
    <w:qFormat/>
    <w:uiPriority w:val="0"/>
    <w:rPr>
      <w:color w:val="000000"/>
      <w:u w:val="none"/>
    </w:rPr>
  </w:style>
  <w:style w:type="character" w:customStyle="1" w:styleId="10">
    <w:name w:val="layui-laypage-curr"/>
    <w:basedOn w:val="6"/>
    <w:qFormat/>
    <w:uiPriority w:val="0"/>
  </w:style>
  <w:style w:type="character" w:customStyle="1" w:styleId="11">
    <w:name w:val="页眉 字符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2">
    <w:name w:val="页脚 字符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1782</Words>
  <Characters>2109</Characters>
  <Lines>10</Lines>
  <Paragraphs>2</Paragraphs>
  <TotalTime>4</TotalTime>
  <ScaleCrop>false</ScaleCrop>
  <LinksUpToDate>false</LinksUpToDate>
  <CharactersWithSpaces>2114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2021-08-10T09:46:00Z</dcterms:created>
  <dc:creator>花非花</dc:creator>
  <cp:lastModifiedBy>Administrator</cp:lastModifiedBy>
  <dcterms:modified xsi:type="dcterms:W3CDTF">2023-11-17T01:06:29Z</dcterms:modified>
  <dc:title>中国民主同盟广安市委员会2021年8月部门预算执行情况说明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49112DC5D59A4E6C80BE0DF452558441</vt:lpwstr>
  </property>
</Properties>
</file>